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6F734C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6F734C" w:rsidRDefault="006F734C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6F734C">
              <w:rPr>
                <w:rFonts w:ascii="Arial" w:hAnsi="Arial" w:cs="Arial"/>
                <w:b/>
                <w:caps/>
                <w:sz w:val="32"/>
                <w:szCs w:val="72"/>
              </w:rPr>
              <w:t>T07 - TÉCNICO EM HISTOPATOLOGIA</w:t>
            </w:r>
            <w:r w:rsidR="002302DC">
              <w:rPr>
                <w:rFonts w:ascii="Arial" w:hAnsi="Arial" w:cs="Arial"/>
                <w:b/>
                <w:caps/>
                <w:sz w:val="32"/>
                <w:szCs w:val="72"/>
              </w:rPr>
              <w:t xml:space="preserve"> – 30H</w:t>
            </w:r>
          </w:p>
          <w:p w:rsidR="003B6CAA" w:rsidRPr="00786189" w:rsidRDefault="00786189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86189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6F734C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6F734C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6F734C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6F734C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6F734C" w:rsidRDefault="006F734C" w:rsidP="006F734C">
      <w:pPr>
        <w:pStyle w:val="Disciplina"/>
        <w:keepNext/>
        <w:spacing w:before="0"/>
      </w:pPr>
      <w:r>
        <w:lastRenderedPageBreak/>
        <w:t xml:space="preserve">LÍNGUA PORTUGUESA 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2302DC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nitidez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escassez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rispidez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6F734C" w:rsidRPr="002302DC" w:rsidRDefault="006F734C" w:rsidP="006F734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6F734C" w:rsidRPr="002302DC" w:rsidRDefault="006F734C" w:rsidP="006F734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6F734C" w:rsidRPr="002302DC" w:rsidRDefault="006F734C" w:rsidP="006F734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6F734C" w:rsidRPr="002302DC" w:rsidRDefault="006F734C" w:rsidP="006F734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6F734C" w:rsidRPr="002302DC" w:rsidRDefault="006F734C" w:rsidP="006F734C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2302DC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6F734C" w:rsidRPr="002302DC" w:rsidRDefault="006F734C" w:rsidP="006F734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6F734C" w:rsidRPr="002302DC" w:rsidRDefault="006F734C" w:rsidP="006F734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2302DC">
        <w:rPr>
          <w:rFonts w:asciiTheme="minorHAnsi" w:hAnsiTheme="minorHAnsi" w:cstheme="minorHAnsi"/>
          <w:sz w:val="20"/>
          <w:szCs w:val="20"/>
        </w:rPr>
        <w:t> que eu não viajo.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Cem metros é muito.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744D23C2" wp14:editId="4E61B1B4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graúna - androide;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ideia </w:t>
      </w:r>
      <w:r w:rsidRPr="002302D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2302DC">
        <w:rPr>
          <w:rFonts w:asciiTheme="minorHAnsi" w:hAnsiTheme="minorHAnsi" w:cstheme="minorHAnsi"/>
          <w:sz w:val="20"/>
          <w:szCs w:val="20"/>
        </w:rPr>
        <w:t>heróis;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2302D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2302D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2302D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302DC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6F734C" w:rsidRPr="00963844" w:rsidRDefault="006F734C" w:rsidP="006F734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6F734C" w:rsidRPr="00952EC0" w:rsidRDefault="006F734C" w:rsidP="006F734C">
      <w:pPr>
        <w:pStyle w:val="Enunciado"/>
        <w:rPr>
          <w:rFonts w:asciiTheme="minorHAnsi" w:hAnsiTheme="minorHAnsi"/>
          <w:sz w:val="20"/>
          <w:szCs w:val="20"/>
        </w:rPr>
      </w:pPr>
    </w:p>
    <w:p w:rsidR="006F734C" w:rsidRDefault="006F734C" w:rsidP="006F734C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786189">
        <w:t>TOS DO SISTEMA ÚNICO DE SAÚDE (SUS) /</w:t>
      </w:r>
      <w:r w:rsidR="002302DC">
        <w:t xml:space="preserve"> </w:t>
      </w:r>
      <w:r>
        <w:t>SAÚDE COLETIVA</w:t>
      </w: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2302D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302DC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2302D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302DC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) </w:t>
      </w:r>
      <w:r w:rsidRPr="002302DC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302D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302DC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302D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302DC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302D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302DC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302D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302DC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2302D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302D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302DC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2302D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302DC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2302DC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2302D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302D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302DC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2302D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2302DC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evento sentinela;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vigilância ambiental;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16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19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20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valorização social;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vigilância em saúde.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6F734C" w:rsidRPr="00153137" w:rsidRDefault="006F734C" w:rsidP="006F734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786189" w:rsidRDefault="00786189" w:rsidP="00786189">
      <w:pPr>
        <w:pStyle w:val="Disciplina"/>
        <w:keepNext/>
        <w:spacing w:before="0"/>
      </w:pPr>
      <w:r>
        <w:t>CONHECIMENTOS ESPECÍFICOS</w:t>
      </w: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 parede dos túbulos renais, como os túbulos contorcidos distais e proximais,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alças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Henle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espessa e túbulos coletores, são constituídos de: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tecido epitelial de revestimentos simples cúbico.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tecido epitelial de revestimentos simples colunar.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tecido epitelial de revestimentos simples pavimentoso.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tecido epitelial de revestimentos simples estratificado.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tecido epitelial de revestimentos simples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pseudo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- estratificado.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O tecido adiposo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muiltilocular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pode ser encontrado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na(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o):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cordão umbilical.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arcabouço de órgãos epiteliais.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periferia do timo.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arcabouço de órgãos linfoides.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submucosa do genital masculino e feminino.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Na medula espinhal,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observa-se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duas regiões distintas, uma central, correspondente à substância cinzenta, e outra periférica, correspondente à substância branca. Nessa região da medula (sustância branca), também são visíveis: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fibras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amielínicas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 orifício do H medular.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o canal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ependimário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, revestido pelas células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ependimárias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com morfologia colunar.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núcleos de células da neuroglia.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corpos celulares dos neurônios, com corpúsculos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Nissl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Num corte histológico do intestino delgado, na parte mais externa do órgão, é possível localizar o tecido muscular liso, que aparece em duas camadas distintas.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É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características dos cortes transversais: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célula muscular lisa fusiforme.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células sem estrias.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células com núcleo me forma e charuto.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possibilidade de individualizar as células musculares lisas.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estruturas celulares ovais e achatadas.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Terminologia cirúrgica é o conjunto de termos que expressam o seguimento corpóreo afetado e a intervenção realizada para tratar a afecção. Nesse contexto está correto o seguinte exemplo: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ectomia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- abertura cirúrgica de uma nova boca.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bactericida - agente que previne a multiplicação de bactérias.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retossigmoidectomia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- extirpação da trompa.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punção –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bronquiectasia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esplenectomia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- remoção do baço.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O plano vertical passando pelo corpo paralelamente à linha média, cortando-o longitudinalmente em lados direito e esquerdo, é denominado de: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axial.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sagital.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frontal.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coronal.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transversal.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32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escolha de um fixador depende da natureza do processo patológico presente no tecido, da estrutura celular e/ou tecidual, ou, então, da natureza bioquímica do elemento que se deseja preservar. É um exemplo de fixador do tipo agente oxidante: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metanol.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glutaraldeído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iodeto de zinco.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carbowax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6000.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dicromato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de potássio.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fixação é uma das etapas mais importantes da técnica histológica. Nesse contexto está incorreta a seguinte afirmação: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 ácido fórmico pode se precipitar nos tecidos sob a forma de um pigmento de coloração amarela, sendo considerado um artefato.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O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paraformaldeído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comercial tem sido recomendado para análise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imuno-histoquímica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Por serem muito voláteis e sensíveis à luz, as soluções contendo formaldeído devem ser guardadas ao abrigo da luz em vidro‚ âmbar firmemente fechado.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O formaldeído contém polímeros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paraformaldeído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comercial, mas que só serão hidrolisados quando diluídos em água.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Em altas concentrações, o formaldeído pode causar bronquite, pneumonia ou laringite.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Para confeccionar cortes de material incluído em resinas acrílicas ou epóxi, deve-se utilizar: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criostato.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micrótomo rotativo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ultramicrótomo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micrótomo vibratório.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micrótomo do tipo serra.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O texto abaixo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refere-se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ao seguinte tipo de navalha: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São navalhas mais resistentes e totalmente livres de impurezas, contendo ainda 12% a 15% de material cromado ou de teflon, pois não oxidam na presença de água e oferecem maior durabilidade.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navalhas de aço.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navalhas descartáveis.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navalhas de aço para criostato.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navalhas de tungstênio.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navalhas descartáveis de tungstênio.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 clivagem consiste em reduzir as dimensões dos fragmentos dos tecidos coletados. Na clivagem ideal, os fragmentos devem atingir cerca de: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FB4347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FB434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B434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B434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B4347">
        <w:rPr>
          <w:rFonts w:asciiTheme="minorHAnsi" w:hAnsiTheme="minorHAnsi" w:cstheme="minorHAnsi"/>
          <w:sz w:val="20"/>
          <w:szCs w:val="20"/>
        </w:rPr>
        <w:t xml:space="preserve">6 </w:t>
      </w:r>
      <w:proofErr w:type="spellStart"/>
      <w:r w:rsidRPr="00FB4347">
        <w:rPr>
          <w:rFonts w:asciiTheme="minorHAnsi" w:hAnsiTheme="minorHAnsi" w:cstheme="minorHAnsi"/>
          <w:sz w:val="20"/>
          <w:szCs w:val="20"/>
        </w:rPr>
        <w:t>mm.</w:t>
      </w:r>
      <w:proofErr w:type="spellEnd"/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302DC">
        <w:rPr>
          <w:rFonts w:asciiTheme="minorHAnsi" w:hAnsiTheme="minorHAnsi" w:cstheme="minorHAnsi"/>
          <w:sz w:val="20"/>
          <w:szCs w:val="20"/>
          <w:lang w:val="en-US"/>
        </w:rPr>
        <w:t>5 mm.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302DC">
        <w:rPr>
          <w:rFonts w:asciiTheme="minorHAnsi" w:hAnsiTheme="minorHAnsi" w:cstheme="minorHAnsi"/>
          <w:sz w:val="20"/>
          <w:szCs w:val="20"/>
          <w:lang w:val="en-US"/>
        </w:rPr>
        <w:t>4 mm.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2302D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302DC">
        <w:rPr>
          <w:rFonts w:asciiTheme="minorHAnsi" w:hAnsiTheme="minorHAnsi" w:cstheme="minorHAnsi"/>
          <w:sz w:val="20"/>
          <w:szCs w:val="20"/>
          <w:lang w:val="en-US"/>
        </w:rPr>
        <w:t>3 mm.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2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mm.</w:t>
      </w:r>
      <w:proofErr w:type="spellEnd"/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 boa fixação de um tecido depende de certos fatores. Certos tecidos necessitam de uma penetração lenta para melhor preservar suas estruturas. Nesses casos, aconselha-se que a fixação seja realizada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sob resfriamento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de: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-2°C a 4°C.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0°C a 6°C.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0°C a 4°C.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-2°C a 6°C.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2°C a 6°C.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38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Depois de preparar o Reativo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Schiff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é importante testá-lo. Para tanto, deve-se proceder e observar o seguinte: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pingar gotas dele em um pouco de formol a 10%. Caso a solução fique vermelho-púrpura, indica que o reativo poderá ser utilizado.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pingar gotas dele em um pouco de formol a 10%. Caso a solução fique roxa, indica que o reativo poderá ser utilizado.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pingar gotas dele em um pouco de formol a 5%. Caso a solução fique vermelho-púrpura, indica que o reativo poderá ser utilizado.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pingar gotas dele em um pouco de formol a 5%. Caso a solução fique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roxo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, indica que o reativo poderá ser utilizado.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pingar gotas dele em um pouco de formol a 10%. Caso a solução fique azul, indica que o reativo poderá ser utilizado.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 Coloração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Tricômico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Masson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possibilita a visualização de diferentes estruturas do tecido conjuntivo em cores diferenciadas. No preparo das soluções,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10ml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de solução aquosa de fucsina ácida 1%, é utilizada na: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solução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Bouin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solução ácida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fosfotúngstica-fosfomolíbdica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solução de azul de anilina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hematoxilina férrica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Weigert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solução de Escarlate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Biebrich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O principal objetivo dessa coloração é demonstrar as fibras 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Elásticas, que normalmente não se coram bem pela coloração de Hematoxilina e Eosina. Na Solução van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Gieson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, é utilizada:</w:t>
      </w:r>
    </w:p>
    <w:p w:rsidR="002302DC" w:rsidRPr="002302DC" w:rsidRDefault="002302D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4 g de iodeto de Potássio.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FB4347">
        <w:rPr>
          <w:rFonts w:asciiTheme="minorHAnsi" w:hAnsiTheme="minorHAnsi" w:cstheme="minorHAnsi"/>
          <w:sz w:val="20"/>
          <w:szCs w:val="20"/>
        </w:rPr>
        <w:t xml:space="preserve">5 ml de </w:t>
      </w:r>
      <w:proofErr w:type="spellStart"/>
      <w:r w:rsidR="00FB4347">
        <w:rPr>
          <w:rFonts w:asciiTheme="minorHAnsi" w:hAnsiTheme="minorHAnsi" w:cstheme="minorHAnsi"/>
          <w:sz w:val="20"/>
          <w:szCs w:val="20"/>
        </w:rPr>
        <w:t>fuccina</w:t>
      </w:r>
      <w:proofErr w:type="spellEnd"/>
      <w:r w:rsidR="00FB4347">
        <w:rPr>
          <w:rFonts w:asciiTheme="minorHAnsi" w:hAnsiTheme="minorHAnsi" w:cstheme="minorHAnsi"/>
          <w:sz w:val="20"/>
          <w:szCs w:val="20"/>
        </w:rPr>
        <w:t xml:space="preserve"> ácida 1%.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10 ml d</w:t>
      </w:r>
      <w:r w:rsidR="00FB4347">
        <w:rPr>
          <w:rFonts w:asciiTheme="minorHAnsi" w:hAnsiTheme="minorHAnsi" w:cstheme="minorHAnsi"/>
          <w:sz w:val="20"/>
          <w:szCs w:val="20"/>
        </w:rPr>
        <w:t>e cloreto de ferro.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25 ml de hematoxilina alcoólica 10 %.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100 ml de álcool absoluto.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 Coloração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Papanicolaou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é utilizada para detectar alterações em células do colo uterino. Quando dos seus resultados, encontramos: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células superficiais: citoplasma vermelho.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células intermediárias e profundas: citoplasma azul.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células superficiais: Núcleo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piquinótico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róseo.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células intermediárias e profundas: núcleo roxo.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/>
          <w:sz w:val="20"/>
          <w:szCs w:val="20"/>
        </w:rPr>
        <w:t>floras anormais: bacilos e cocos azuis a roxos.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A combinação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bicrômica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considerada coloração universal em histologia 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histopatologia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é a hematoxilina e eosina. A eosina, atraída pelos elementos básicos das proteínas citoplasmáticas, confere ao citoplasma, uma coloração: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roxo-azulada.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púrpura.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rósea-avermelhada.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alaranjada.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amarelada.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Há diversos métodos especiais de coloração que propiciam uma melhor identificação de determinados componentes teciduais. Para evidenciar Glicoproteínas neutras, utiliza-se o seguinte elemento da matriz celular: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PAS.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PAMS.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Reticulina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Tricomática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Masson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Tricomática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 xml:space="preserve"> de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Gomori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Considere as afirmações abaixo, e assinale a alternativa que indica as verdadeiras: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numPr>
          <w:ilvl w:val="0"/>
          <w:numId w:val="14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Uma característica importante das células eucarióticas é o fato de a cromatina, ao contrário do que ocorre com a célula bacteriana, estar envolvida por uma membrana nuclear (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carioteca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), destacando-se assim um núcleo diferenciado.</w:t>
      </w:r>
    </w:p>
    <w:p w:rsidR="006F734C" w:rsidRPr="002302DC" w:rsidRDefault="006F734C" w:rsidP="006F734C">
      <w:pPr>
        <w:keepNext/>
        <w:keepLines/>
        <w:numPr>
          <w:ilvl w:val="0"/>
          <w:numId w:val="14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Ribossomos são estruturas onde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se sintetizam proteínas. São quimicamente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semelhantes aos ribossomos das células  procarióticas.</w:t>
      </w:r>
    </w:p>
    <w:p w:rsidR="006F734C" w:rsidRPr="002302DC" w:rsidRDefault="006F734C" w:rsidP="006F734C">
      <w:pPr>
        <w:keepNext/>
        <w:keepLines/>
        <w:numPr>
          <w:ilvl w:val="0"/>
          <w:numId w:val="14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Os vírus não contradizem a teoria celular, pois para se expressar como seres vivos eles sempre dependem de células. Sua reprodução depende do equipamento celular que ‘tomam emprestado’ de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um outro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 ser vivo, que lhes serve de hospedeiro.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Apenas I.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Apenas I e II.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Apenas III.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Apenas I e III.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Apenas II e III.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Há quatro classes principais de pequenas moléculas biológicas nas células. Os nucleotídeos são os "blocos de construção" do RNA e do DNA. As pirimidinas têm anéis de</w:t>
      </w:r>
      <w:r w:rsidR="00FB4347">
        <w:rPr>
          <w:rFonts w:asciiTheme="minorHAnsi" w:hAnsiTheme="minorHAnsi" w:cstheme="minorHAnsi"/>
          <w:sz w:val="20"/>
          <w:szCs w:val="20"/>
        </w:rPr>
        <w:t>:</w:t>
      </w:r>
      <w:bookmarkStart w:id="0" w:name="_GoBack"/>
      <w:bookmarkEnd w:id="0"/>
      <w:r w:rsidRPr="002302D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4 átomos com dois átomos de nitrogênio no anel.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6 átomos com dois átomos de nitrogênio no anel.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6 átomos com três átomos de nitrogênio no anel.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4 átomos com três átomos de nitrogênio no anel.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6 átomos com quatro átomos de nitrogênio no anel.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No contexto da biossegurança, o símbolo representado abaixo, refere-se a: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  <w:r w:rsidRPr="002302DC">
        <w:rPr>
          <w:rFonts w:asciiTheme="minorHAnsi" w:hAnsiTheme="minorHAnsi"/>
          <w:sz w:val="20"/>
          <w:szCs w:val="20"/>
        </w:rPr>
        <w:object w:dxaOrig="1890" w:dyaOrig="1950">
          <v:shape id="_x0000_i1025" type="#_x0000_t75" style="width:94.4pt;height:96.8pt" o:ole="">
            <v:imagedata r:id="rId23" o:title=""/>
          </v:shape>
          <o:OLEObject Type="Embed" ProgID="PBrush" ShapeID="_x0000_i1025" DrawAspect="Content" ObjectID="_1771692892" r:id="rId24"/>
        </w:objec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corrosivos.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tóxicos.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explosivos.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inflamáveis.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oxidantes.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 xml:space="preserve">Considera-se manipulação de produtos químicos desde a abertura de sua embalagem, até o descarte da mesma, após todo o produto ter sido utilizado. Assinale a alternativa que se refere ao 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>produto químicos descrito abaixo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: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É um poderoso agente desidratante. Na forma concentrada, reage explosivamente com potássio e sódio metálicos, permanganatos, cloratos, álcool benzílico, além do risco de provocar queimaduras severas na pele e olhos, mesmo em soluções diluídas. Deve ser manipulado em capela, usando-se equipamento de proteção.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Ácido Nítrico.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 xml:space="preserve">Ácido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Perclórico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Ácido Clorídrico.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Ácido Fluorídrico.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Ácido Sulfúrico.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Os agentes de riscos biológicos podem ser distribuídos em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 xml:space="preserve">classes, de acordo com a patogenicidade para o homem, virulência, modos de transmissão, disponibilidade de medidas profiláticas eficazes e disponibilidade de tratamento eficaz e </w:t>
      </w:r>
      <w:proofErr w:type="spellStart"/>
      <w:r w:rsidRPr="002302DC">
        <w:rPr>
          <w:rFonts w:asciiTheme="minorHAnsi" w:hAnsiTheme="minorHAnsi" w:cstheme="minorHAnsi"/>
          <w:sz w:val="20"/>
          <w:szCs w:val="20"/>
        </w:rPr>
        <w:t>endemicidade</w:t>
      </w:r>
      <w:proofErr w:type="spellEnd"/>
      <w:r w:rsidRPr="002302DC">
        <w:rPr>
          <w:rFonts w:asciiTheme="minorHAnsi" w:hAnsiTheme="minorHAnsi" w:cstheme="minorHAnsi"/>
          <w:sz w:val="20"/>
          <w:szCs w:val="20"/>
        </w:rPr>
        <w:t>. Quando há um moderado risco individual e limitado risco para a comunidade, implica na seguinte classificação: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Classe 1.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Classe 2.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Classe 3.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Classe 4.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Classe 5.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As luvas de fio de kevlar tricotado, são Equipamentos de Proteção Individual, recomendadas para</w:t>
      </w:r>
      <w:proofErr w:type="gramStart"/>
      <w:r w:rsidRPr="002302D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302DC">
        <w:rPr>
          <w:rFonts w:asciiTheme="minorHAnsi" w:hAnsiTheme="minorHAnsi" w:cstheme="minorHAnsi"/>
          <w:sz w:val="20"/>
          <w:szCs w:val="20"/>
        </w:rPr>
        <w:t>o manuseio de: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materiais perfuro-cortantes.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amostras de produtos químicos.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materiais aquecidos ou resfriados.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materiais biológicos.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produtos de limpeza de laboratórios.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6F734C" w:rsidRPr="002302DC" w:rsidRDefault="006F734C" w:rsidP="006F734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302DC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6F734C" w:rsidRPr="002302DC" w:rsidRDefault="006F734C" w:rsidP="006F734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</w:rPr>
        <w:t>Em caso de queimaduras por ácidos, deve-se proceder:</w:t>
      </w:r>
    </w:p>
    <w:p w:rsidR="006F734C" w:rsidRPr="002302DC" w:rsidRDefault="006F734C" w:rsidP="006F734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Lavar imediatamente o local com água corrente em abundância durante cinco minutos. Em seguida, lavar com solução saturada de bicarbonato de sódio a 10% e novamente com água.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Lavar a área atingida imediatamente com bastante água corrente durante cinco minutos. Tratar com solução aquosa de ácido acético 1 % e lavar novamente com água.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Lavar imediatamente o local com água corrente em abundância durante cinco minutos. Em seguida, lavar com solução saturada de hipoclorito de sódio a 1% e novamente com água.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Lavar a área atingida imediatamente com bastante água corrente durante cinco minutos. Tratar com solução aquosa de ácido acético 5 % e lavar novamente com água.</w:t>
      </w:r>
    </w:p>
    <w:p w:rsidR="006F734C" w:rsidRPr="002302DC" w:rsidRDefault="006F734C" w:rsidP="006F734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302D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302D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302D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302DC">
        <w:rPr>
          <w:rFonts w:asciiTheme="minorHAnsi" w:hAnsiTheme="minorHAnsi" w:cstheme="minorHAnsi"/>
          <w:sz w:val="20"/>
          <w:szCs w:val="20"/>
        </w:rPr>
        <w:t>Lavar imediatamente o local com água corrente em abundância durante cinco minutos. Em seguida, lavar com solução saturada de hipoclorito de sódio a 2% e novamente com água.</w:t>
      </w:r>
    </w:p>
    <w:p w:rsidR="006F734C" w:rsidRPr="002302DC" w:rsidRDefault="006F734C" w:rsidP="006F734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6F734C" w:rsidRPr="002302DC" w:rsidSect="006F734C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84" w:rsidRDefault="000A2B84" w:rsidP="00F24D13">
      <w:pPr>
        <w:spacing w:before="0" w:after="0"/>
      </w:pPr>
      <w:r>
        <w:separator/>
      </w:r>
    </w:p>
  </w:endnote>
  <w:endnote w:type="continuationSeparator" w:id="0">
    <w:p w:rsidR="000A2B84" w:rsidRDefault="000A2B84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4C" w:rsidRDefault="006F734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4C" w:rsidRDefault="006F734C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A2B84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6F734C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EM HISTOPATOLOGIA</w:t>
          </w:r>
        </w:p>
      </w:tc>
      <w:tc>
        <w:tcPr>
          <w:tcW w:w="209" w:type="pct"/>
        </w:tcPr>
        <w:p w:rsidR="00B20B48" w:rsidRPr="00B20B48" w:rsidRDefault="000A2B84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6F734C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FB4347">
            <w:rPr>
              <w:noProof/>
              <w:sz w:val="16"/>
            </w:rPr>
            <w:t>9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0A2B84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A2B8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84" w:rsidRDefault="000A2B84" w:rsidP="00F24D13">
      <w:pPr>
        <w:spacing w:before="0" w:after="0"/>
      </w:pPr>
      <w:r>
        <w:separator/>
      </w:r>
    </w:p>
  </w:footnote>
  <w:footnote w:type="continuationSeparator" w:id="0">
    <w:p w:rsidR="000A2B84" w:rsidRDefault="000A2B84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4C" w:rsidRDefault="006F734C">
    <w:pPr>
      <w:pStyle w:val="Cabealho"/>
    </w:pPr>
  </w:p>
  <w:p w:rsidR="006F734C" w:rsidRDefault="006F734C">
    <w:pPr>
      <w:pStyle w:val="Cabealho"/>
    </w:pPr>
  </w:p>
  <w:p w:rsidR="006F734C" w:rsidRDefault="006F734C">
    <w:pPr>
      <w:pStyle w:val="Cabealho"/>
    </w:pPr>
  </w:p>
  <w:p w:rsidR="006F734C" w:rsidRDefault="006F734C">
    <w:pPr>
      <w:pStyle w:val="Cabealho"/>
    </w:pPr>
  </w:p>
  <w:p w:rsidR="006F734C" w:rsidRDefault="006F734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4C" w:rsidRDefault="006F734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4C" w:rsidRDefault="006F734C">
    <w:pPr>
      <w:pStyle w:val="Cabealho"/>
    </w:pPr>
  </w:p>
  <w:p w:rsidR="006F734C" w:rsidRDefault="006F734C">
    <w:pPr>
      <w:pStyle w:val="Cabealho"/>
    </w:pPr>
  </w:p>
  <w:p w:rsidR="006F734C" w:rsidRDefault="006F734C">
    <w:pPr>
      <w:pStyle w:val="Cabealho"/>
    </w:pPr>
  </w:p>
  <w:p w:rsidR="006F734C" w:rsidRDefault="006F734C">
    <w:pPr>
      <w:pStyle w:val="Cabealho"/>
    </w:pPr>
  </w:p>
  <w:p w:rsidR="006F734C" w:rsidRDefault="006F734C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34C" w:rsidRDefault="006F734C">
    <w:pPr>
      <w:pStyle w:val="Cabealho"/>
      <w:rPr>
        <w:sz w:val="16"/>
      </w:rPr>
    </w:pPr>
  </w:p>
  <w:p w:rsidR="006F734C" w:rsidRDefault="006F734C">
    <w:pPr>
      <w:pStyle w:val="Cabealho"/>
      <w:rPr>
        <w:sz w:val="16"/>
      </w:rPr>
    </w:pPr>
  </w:p>
  <w:p w:rsidR="006F734C" w:rsidRDefault="006F734C">
    <w:pPr>
      <w:pStyle w:val="Cabealho"/>
      <w:rPr>
        <w:sz w:val="16"/>
      </w:rPr>
    </w:pPr>
  </w:p>
  <w:p w:rsidR="006F734C" w:rsidRDefault="006F734C">
    <w:pPr>
      <w:pStyle w:val="Cabealho"/>
      <w:rPr>
        <w:sz w:val="16"/>
      </w:rPr>
    </w:pPr>
  </w:p>
  <w:p w:rsidR="006F734C" w:rsidRDefault="006F734C">
    <w:pPr>
      <w:pStyle w:val="Cabealho"/>
      <w:rPr>
        <w:sz w:val="16"/>
      </w:rPr>
    </w:pPr>
  </w:p>
  <w:p w:rsidR="006F734C" w:rsidRDefault="006F734C">
    <w:pPr>
      <w:pStyle w:val="Cabealho"/>
      <w:rPr>
        <w:sz w:val="16"/>
      </w:rPr>
    </w:pPr>
  </w:p>
  <w:p w:rsidR="006F734C" w:rsidRDefault="006F734C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A2B84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6F734C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0A2B84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A2B8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9" type="#_x0000_t75" style="width:19.6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70A00"/>
    <w:multiLevelType w:val="hybridMultilevel"/>
    <w:tmpl w:val="855A4B6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3"/>
  </w:num>
  <w:num w:numId="8">
    <w:abstractNumId w:val="8"/>
  </w:num>
  <w:num w:numId="9">
    <w:abstractNumId w:val="7"/>
  </w:num>
  <w:num w:numId="10">
    <w:abstractNumId w:val="1"/>
  </w:num>
  <w:num w:numId="11">
    <w:abstractNumId w:val="12"/>
  </w:num>
  <w:num w:numId="12">
    <w:abstractNumId w:val="3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A2B84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02DC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6F734C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189"/>
    <w:rsid w:val="00786AAB"/>
    <w:rsid w:val="00792E93"/>
    <w:rsid w:val="007A046A"/>
    <w:rsid w:val="007A391C"/>
    <w:rsid w:val="007A4E8D"/>
    <w:rsid w:val="007A5C11"/>
    <w:rsid w:val="007B6420"/>
    <w:rsid w:val="007B6AA9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29C"/>
    <w:rsid w:val="00FA4347"/>
    <w:rsid w:val="00FB02F3"/>
    <w:rsid w:val="00FB0389"/>
    <w:rsid w:val="00FB3452"/>
    <w:rsid w:val="00FB4347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header" Target="header8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1.bin"/><Relationship Id="rId32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image" Target="media/image5.png"/><Relationship Id="rId28" Type="http://schemas.openxmlformats.org/officeDocument/2006/relationships/footer" Target="footer7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footer" Target="footer6.xml"/><Relationship Id="rId30" Type="http://schemas.openxmlformats.org/officeDocument/2006/relationships/footer" Target="footer8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78694-7C5D-4BCE-8BFE-9F23BA0E2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4475</Words>
  <Characters>24166</Characters>
  <Application>Microsoft Office Word</Application>
  <DocSecurity>0</DocSecurity>
  <Lines>201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5</cp:revision>
  <cp:lastPrinted>2023-07-20T12:24:00Z</cp:lastPrinted>
  <dcterms:created xsi:type="dcterms:W3CDTF">2024-03-11T08:25:00Z</dcterms:created>
  <dcterms:modified xsi:type="dcterms:W3CDTF">2024-03-11T09:08:00Z</dcterms:modified>
</cp:coreProperties>
</file>